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357"/>
        <w:jc w:val="center"/>
        <w:rPr>
          <w:b/>
          <w:u w:val="single"/>
        </w:rPr>
      </w:pPr>
      <w:r>
        <w:rPr>
          <w:b/>
          <w:u w:val="single"/>
        </w:rPr>
        <w:t xml:space="preserve">Opérations relatives à l’intégration des données en ligne </w:t>
      </w:r>
    </w:p>
    <w:p>
      <w:pPr>
        <w:ind w:left="357"/>
        <w:rPr>
          <w:b/>
        </w:rPr>
      </w:pPr>
    </w:p>
    <w:p>
      <w:pPr>
        <w:ind w:left="0" w:firstLine="0"/>
      </w:pPr>
      <w:r>
        <w:rPr>
          <w:b/>
        </w:rPr>
        <w:t>Expert-Pro</w:t>
      </w:r>
      <w:r>
        <w:t xml:space="preserve"> permet de charger les données en ligne sur </w:t>
      </w:r>
      <w:r>
        <w:rPr>
          <w:b/>
        </w:rPr>
        <w:t xml:space="preserve">WebExpert-Pro, </w:t>
      </w:r>
      <w:r>
        <w:t xml:space="preserve">applicatif web logé à l’adresse  </w:t>
      </w:r>
      <w:r>
        <w:fldChar w:fldCharType="begin"/>
      </w:r>
      <w:r>
        <w:instrText xml:space="preserve"> HYPERLINK "http://www.expertpro-ci.net" </w:instrText>
      </w:r>
      <w:r>
        <w:fldChar w:fldCharType="separate"/>
      </w:r>
      <w:r>
        <w:rPr>
          <w:rStyle w:val="3"/>
          <w:b/>
        </w:rPr>
        <w:t>www.expertpro-ci.net</w:t>
      </w:r>
      <w:r>
        <w:rPr>
          <w:rStyle w:val="3"/>
          <w:b/>
        </w:rPr>
        <w:fldChar w:fldCharType="end"/>
      </w:r>
    </w:p>
    <w:p>
      <w:pPr>
        <w:ind w:left="0" w:firstLine="0"/>
      </w:pPr>
      <w:r>
        <w:t>Les données de la Scolarité  et  celles de la Pédagogie peuvent ainsi être chargées chaque soir ou à une fréquence choisie par l’utilisateur.</w:t>
      </w:r>
    </w:p>
    <w:p>
      <w:pPr>
        <w:ind w:left="0" w:firstLine="0"/>
        <w:rPr>
          <w:b/>
        </w:rPr>
      </w:pPr>
    </w:p>
    <w:p>
      <w:pPr>
        <w:ind w:left="0" w:firstLine="0"/>
        <w:rPr>
          <w:b/>
        </w:rPr>
      </w:pPr>
      <w:r>
        <w:rPr>
          <w:b/>
        </w:rPr>
        <w:t xml:space="preserve">Procédure : Paramètres </w:t>
      </w:r>
      <w:r>
        <w:t>-&gt;</w:t>
      </w:r>
      <w:r>
        <w:rPr>
          <w:b/>
        </w:rPr>
        <w:t xml:space="preserve"> Export vers ExpertPro Web</w:t>
      </w:r>
    </w:p>
    <w:p>
      <w:pPr>
        <w:ind w:left="0" w:firstLine="0"/>
      </w:pPr>
    </w:p>
    <w:p>
      <w:pPr>
        <w:ind w:left="0" w:firstLine="0"/>
      </w:pPr>
      <w:r>
        <w:t>En début d’année, les données doivent être chargées dans l’ordre des onglets.</w:t>
      </w:r>
    </w:p>
    <w:p>
      <w:pPr>
        <w:ind w:left="0" w:firstLine="0"/>
      </w:pPr>
    </w:p>
    <w:p>
      <w:pPr>
        <w:ind w:left="0" w:firstLine="0"/>
        <w:rPr>
          <w:b/>
        </w:rPr>
      </w:pPr>
      <w:r>
        <w:rPr>
          <w:b/>
        </w:rPr>
        <w:t>Procédure :</w:t>
      </w:r>
    </w:p>
    <w:p>
      <w:pPr>
        <w:pStyle w:val="10"/>
        <w:numPr>
          <w:ilvl w:val="0"/>
          <w:numId w:val="1"/>
        </w:numPr>
      </w:pPr>
      <w:r>
        <w:t>Cliquer sur un onglet</w:t>
      </w:r>
    </w:p>
    <w:p>
      <w:pPr>
        <w:pStyle w:val="10"/>
        <w:numPr>
          <w:ilvl w:val="0"/>
          <w:numId w:val="1"/>
        </w:numPr>
      </w:pPr>
      <w:r>
        <w:t xml:space="preserve">Sélectionner l’Etablissement dans la liste déroulante </w:t>
      </w:r>
      <w:r>
        <w:rPr>
          <w:b/>
        </w:rPr>
        <w:t>Etab</w:t>
      </w:r>
      <w:r>
        <w:t>.</w:t>
      </w:r>
    </w:p>
    <w:p>
      <w:pPr>
        <w:pStyle w:val="10"/>
        <w:numPr>
          <w:ilvl w:val="0"/>
          <w:numId w:val="1"/>
        </w:numPr>
      </w:pPr>
      <w:r>
        <w:t xml:space="preserve">Cliquer sur le bouton </w:t>
      </w:r>
      <w:r>
        <w:rPr>
          <w:b/>
        </w:rPr>
        <w:t>Afficher</w:t>
      </w:r>
    </w:p>
    <w:p>
      <w:pPr>
        <w:pStyle w:val="10"/>
        <w:numPr>
          <w:ilvl w:val="0"/>
          <w:numId w:val="1"/>
        </w:numPr>
      </w:pPr>
      <w:r>
        <w:t>Cliquer sur le bouton</w:t>
      </w:r>
      <w:r>
        <w:rPr>
          <w:b/>
        </w:rPr>
        <w:t xml:space="preserve"> charger en ligne</w:t>
      </w:r>
    </w:p>
    <w:p>
      <w:pPr>
        <w:ind w:left="0" w:firstLine="0"/>
        <w:rPr>
          <w:b/>
        </w:rPr>
      </w:pPr>
    </w:p>
    <w:p>
      <w:pPr>
        <w:ind w:left="0" w:firstLine="0"/>
      </w:pPr>
      <w:r>
        <w:rPr>
          <w:b/>
        </w:rPr>
        <w:t xml:space="preserve">Remarque : </w:t>
      </w:r>
      <w:r>
        <w:t>Dans</w:t>
      </w:r>
      <w:r>
        <w:rPr>
          <w:b/>
        </w:rPr>
        <w:t xml:space="preserve"> </w:t>
      </w:r>
      <w:r>
        <w:t>tout ce qui suit, en ne saisissant pas de plage de dates, les données de toute l’année scolaire en cours s’afficheront</w:t>
      </w:r>
    </w:p>
    <w:p>
      <w:pPr>
        <w:ind w:left="0" w:firstLine="0"/>
        <w:rPr>
          <w:b/>
        </w:rPr>
      </w:pPr>
    </w:p>
    <w:p>
      <w:pPr>
        <w:ind w:left="0" w:firstLine="0"/>
      </w:pPr>
      <w:r>
        <w:t>Les données  doivent être chargées dans l’ordre ci-dessous :</w:t>
      </w:r>
    </w:p>
    <w:p>
      <w:pPr>
        <w:ind w:left="0" w:firstLine="0"/>
      </w:pPr>
    </w:p>
    <w:p>
      <w:pPr>
        <w:pStyle w:val="10"/>
        <w:numPr>
          <w:ilvl w:val="0"/>
          <w:numId w:val="2"/>
        </w:numPr>
        <w:rPr>
          <w:b/>
        </w:rPr>
      </w:pPr>
      <w:r>
        <w:rPr>
          <w:b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50165</wp:posOffset>
            </wp:positionH>
            <wp:positionV relativeFrom="paragraph">
              <wp:posOffset>559435</wp:posOffset>
            </wp:positionV>
            <wp:extent cx="6477000" cy="2990850"/>
            <wp:effectExtent l="0" t="0" r="0" b="0"/>
            <wp:wrapTight wrapText="bothSides">
              <wp:wrapPolygon>
                <wp:start x="0" y="0"/>
                <wp:lineTo x="0" y="21462"/>
                <wp:lineTo x="21536" y="21462"/>
                <wp:lineTo x="21536" y="0"/>
                <wp:lineTo x="0" y="0"/>
              </wp:wrapPolygon>
            </wp:wrapTight>
            <wp:docPr id="12" name="Image 11" descr="FenExportClasseVersWe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1" descr="FenExportClasseVersWeb.pn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7000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lang w:eastAsia="fr-FR"/>
        </w:rPr>
        <w:t>Classes par annéesco</w:t>
      </w:r>
    </w:p>
    <w:p>
      <w:pPr>
        <w:pStyle w:val="10"/>
        <w:ind w:firstLine="0"/>
        <w:rPr>
          <w:b/>
        </w:rPr>
      </w:pPr>
    </w:p>
    <w:p>
      <w:pPr>
        <w:pStyle w:val="10"/>
        <w:ind w:firstLine="0"/>
      </w:pPr>
      <w:r>
        <w:t>L’on charge ici toutes les classes utilisées dans l’Etablissement</w:t>
      </w:r>
    </w:p>
    <w:p>
      <w:pPr>
        <w:pStyle w:val="10"/>
        <w:ind w:firstLine="0"/>
      </w:pPr>
    </w:p>
    <w:p>
      <w:pPr>
        <w:pStyle w:val="10"/>
        <w:numPr>
          <w:ilvl w:val="0"/>
          <w:numId w:val="2"/>
        </w:numPr>
        <w:rPr>
          <w:b/>
        </w:rPr>
      </w:pPr>
      <w:r>
        <w:rPr>
          <w:b/>
        </w:rPr>
        <w:t>Elèves</w:t>
      </w:r>
    </w:p>
    <w:p>
      <w:pPr>
        <w:pStyle w:val="10"/>
        <w:numPr>
          <w:ilvl w:val="0"/>
          <w:numId w:val="1"/>
        </w:numPr>
      </w:pPr>
      <w:r>
        <w:t>Saisir une plage de dates. Seuls les élèves inscrits entre ces deux dates s’afficheront.</w:t>
      </w:r>
    </w:p>
    <w:p>
      <w:pPr>
        <w:ind w:left="360" w:firstLine="0"/>
      </w:pPr>
      <w:r>
        <w:rPr>
          <w:b/>
        </w:rPr>
        <w:t>Si l’effectif des élèves est élevé</w:t>
      </w:r>
      <w:r>
        <w:t xml:space="preserve">, </w:t>
      </w:r>
    </w:p>
    <w:p>
      <w:pPr>
        <w:pStyle w:val="10"/>
        <w:numPr>
          <w:ilvl w:val="1"/>
          <w:numId w:val="1"/>
        </w:numPr>
      </w:pPr>
      <w:r>
        <w:t>Sélectionner un Cycle</w:t>
      </w:r>
    </w:p>
    <w:p>
      <w:pPr>
        <w:pStyle w:val="10"/>
        <w:numPr>
          <w:ilvl w:val="1"/>
          <w:numId w:val="1"/>
        </w:numPr>
      </w:pPr>
      <w:r>
        <w:t>Sélectionner un Niveau</w:t>
      </w:r>
    </w:p>
    <w:p>
      <w:pPr>
        <w:pStyle w:val="10"/>
        <w:numPr>
          <w:ilvl w:val="0"/>
          <w:numId w:val="1"/>
        </w:numPr>
      </w:pPr>
      <w:r>
        <w:t xml:space="preserve">Cliquer sur le bouton </w:t>
      </w:r>
      <w:r>
        <w:rPr>
          <w:b/>
        </w:rPr>
        <w:t>Afficher</w:t>
      </w:r>
    </w:p>
    <w:p>
      <w:pPr>
        <w:pStyle w:val="10"/>
        <w:ind w:firstLine="0"/>
        <w:rPr>
          <w:b/>
        </w:rPr>
      </w:pPr>
      <w:r>
        <w:rPr>
          <w:b/>
          <w:lang w:eastAsia="fr-F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40640</wp:posOffset>
            </wp:positionH>
            <wp:positionV relativeFrom="paragraph">
              <wp:posOffset>-88265</wp:posOffset>
            </wp:positionV>
            <wp:extent cx="6477000" cy="3295650"/>
            <wp:effectExtent l="0" t="0" r="0" b="0"/>
            <wp:wrapTight wrapText="bothSides">
              <wp:wrapPolygon>
                <wp:start x="0" y="0"/>
                <wp:lineTo x="0" y="21475"/>
                <wp:lineTo x="21536" y="21475"/>
                <wp:lineTo x="21536" y="0"/>
                <wp:lineTo x="0" y="0"/>
              </wp:wrapPolygon>
            </wp:wrapTight>
            <wp:docPr id="15" name="Image 14" descr="FenExportElev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4" descr="FenExportEleves.pn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7000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0"/>
        <w:numPr>
          <w:ilvl w:val="0"/>
          <w:numId w:val="1"/>
        </w:numPr>
        <w:rPr>
          <w:b/>
        </w:rPr>
      </w:pPr>
      <w:r>
        <w:t>Cliquer sur le</w:t>
      </w:r>
      <w:r>
        <w:rPr>
          <w:b/>
        </w:rPr>
        <w:t xml:space="preserve"> bouton Charger en ligne</w:t>
      </w:r>
    </w:p>
    <w:p>
      <w:pPr>
        <w:ind w:left="0" w:firstLine="0"/>
        <w:rPr>
          <w:b/>
        </w:rPr>
      </w:pPr>
    </w:p>
    <w:p>
      <w:pPr>
        <w:pStyle w:val="10"/>
        <w:rPr>
          <w:b/>
        </w:rPr>
      </w:pPr>
      <w:r>
        <w:rPr>
          <w:b/>
        </w:rPr>
        <w:t>A-Chargement des données relatives à la Scolarité</w:t>
      </w:r>
    </w:p>
    <w:p>
      <w:pPr>
        <w:pStyle w:val="10"/>
        <w:rPr>
          <w:b/>
        </w:rPr>
      </w:pPr>
    </w:p>
    <w:p>
      <w:pPr>
        <w:pStyle w:val="10"/>
        <w:numPr>
          <w:ilvl w:val="0"/>
          <w:numId w:val="3"/>
        </w:numPr>
        <w:rPr>
          <w:b/>
        </w:rPr>
      </w:pPr>
      <w:r>
        <w:rPr>
          <w:b/>
        </w:rPr>
        <w:t>Paramétrage scolarité</w:t>
      </w:r>
    </w:p>
    <w:p>
      <w:pPr>
        <w:ind w:left="360" w:firstLine="0"/>
      </w:pPr>
      <w:r>
        <w:rPr>
          <w:lang w:eastAsia="fr-FR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278765</wp:posOffset>
            </wp:positionH>
            <wp:positionV relativeFrom="paragraph">
              <wp:posOffset>39370</wp:posOffset>
            </wp:positionV>
            <wp:extent cx="6105525" cy="3324225"/>
            <wp:effectExtent l="0" t="0" r="0" b="0"/>
            <wp:wrapTight wrapText="bothSides">
              <wp:wrapPolygon>
                <wp:start x="0" y="0"/>
                <wp:lineTo x="0" y="21538"/>
                <wp:lineTo x="21566" y="21538"/>
                <wp:lineTo x="21566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5525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left="360" w:firstLine="0"/>
      </w:pPr>
      <w:r>
        <w:t>Le paramétrage de la scolarité s’affiche automatiquement. Ces données sont chargées en ligne une seule fois et en début d’année, sauf modification des frais de scolarité et frais d’inscription.</w:t>
      </w:r>
    </w:p>
    <w:p>
      <w:pPr>
        <w:pStyle w:val="10"/>
        <w:ind w:firstLine="0"/>
        <w:rPr>
          <w:b/>
        </w:rPr>
      </w:pPr>
    </w:p>
    <w:p>
      <w:pPr>
        <w:pStyle w:val="10"/>
        <w:numPr>
          <w:ilvl w:val="0"/>
          <w:numId w:val="3"/>
        </w:numPr>
        <w:rPr>
          <w:b/>
        </w:rPr>
      </w:pPr>
      <w:r>
        <w:rPr>
          <w:b/>
        </w:rPr>
        <w:t>Paramétrage échéancier</w:t>
      </w: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  <w:r>
        <w:rPr>
          <w:lang w:eastAsia="fr-F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193040</wp:posOffset>
            </wp:positionH>
            <wp:positionV relativeFrom="paragraph">
              <wp:posOffset>-1905</wp:posOffset>
            </wp:positionV>
            <wp:extent cx="5972175" cy="2809875"/>
            <wp:effectExtent l="0" t="0" r="0" b="0"/>
            <wp:wrapTight wrapText="bothSides">
              <wp:wrapPolygon>
                <wp:start x="0" y="0"/>
                <wp:lineTo x="0" y="21527"/>
                <wp:lineTo x="21566" y="21527"/>
                <wp:lineTo x="21566" y="0"/>
                <wp:lineTo x="0" y="0"/>
              </wp:wrapPolygon>
            </wp:wrapTight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ind w:left="0" w:firstLine="0"/>
        <w:rPr>
          <w:b/>
        </w:rPr>
      </w:pPr>
    </w:p>
    <w:p>
      <w:pPr>
        <w:pStyle w:val="10"/>
        <w:ind w:firstLine="0"/>
        <w:rPr>
          <w:b/>
        </w:rPr>
      </w:pPr>
      <w:r>
        <w:t>Le paramétrage des échéanciers s’affiche automatiquement. Ces données sont chargées en ligne une seule fois et en début d’année, sauf modification des frais de scolarité et frais d’inscription</w:t>
      </w:r>
    </w:p>
    <w:p>
      <w:pPr>
        <w:ind w:left="0" w:firstLine="0"/>
        <w:rPr>
          <w:b/>
        </w:rPr>
      </w:pPr>
    </w:p>
    <w:p>
      <w:pPr>
        <w:pStyle w:val="10"/>
        <w:numPr>
          <w:ilvl w:val="0"/>
          <w:numId w:val="3"/>
        </w:numPr>
        <w:rPr>
          <w:b/>
        </w:rPr>
      </w:pPr>
      <w:r>
        <w:rPr>
          <w:b/>
        </w:rPr>
        <w:t>Frais à payer par élève</w:t>
      </w:r>
    </w:p>
    <w:p>
      <w:pPr>
        <w:pStyle w:val="10"/>
        <w:ind w:firstLine="696"/>
      </w:pPr>
      <w:r>
        <w:t xml:space="preserve">Ce sont les différents frais annexes à payer par les élèves. Chaque Frais doit avoir un </w:t>
      </w:r>
      <w:r>
        <w:rPr>
          <w:b/>
        </w:rPr>
        <w:t xml:space="preserve">identifiant </w:t>
      </w:r>
      <w:r>
        <w:t xml:space="preserve"> nommé  idcdc.</w:t>
      </w:r>
    </w:p>
    <w:p>
      <w:pPr>
        <w:pStyle w:val="10"/>
        <w:ind w:firstLine="696"/>
      </w:pPr>
    </w:p>
    <w:p>
      <w:pPr>
        <w:pStyle w:val="10"/>
        <w:ind w:firstLine="696"/>
        <w:rPr>
          <w:b/>
        </w:rPr>
      </w:pPr>
      <w:r>
        <w:t xml:space="preserve">Dans Paramètres -&gt; Fichiers de base  -&gt; Centre de Coût,  s’assurer que chaque  </w:t>
      </w:r>
      <w:r>
        <w:rPr>
          <w:b/>
        </w:rPr>
        <w:t>Centre de Coût</w:t>
      </w:r>
      <w:r>
        <w:t xml:space="preserve">  a un idcdc. Prendre Contact avec les </w:t>
      </w:r>
      <w:r>
        <w:rPr>
          <w:b/>
        </w:rPr>
        <w:t>Responsables d’Expert-Pro,</w:t>
      </w:r>
      <w:r>
        <w:t xml:space="preserve"> le cas échéant pour avoir ces </w:t>
      </w:r>
      <w:r>
        <w:rPr>
          <w:b/>
        </w:rPr>
        <w:t>identifiants.</w:t>
      </w:r>
    </w:p>
    <w:p>
      <w:pPr>
        <w:ind w:left="0" w:firstLine="0"/>
      </w:pPr>
      <w:r>
        <w:t xml:space="preserve">         </w:t>
      </w:r>
    </w:p>
    <w:p>
      <w:pPr>
        <w:pStyle w:val="10"/>
        <w:numPr>
          <w:ilvl w:val="0"/>
          <w:numId w:val="1"/>
        </w:numPr>
      </w:pPr>
      <w:r>
        <w:t>Saisir une plage de dates. Seuls Frais à payer des élèves inscrits entre ces deux dates s’afficheront.</w:t>
      </w:r>
    </w:p>
    <w:p>
      <w:pPr>
        <w:pStyle w:val="10"/>
        <w:numPr>
          <w:ilvl w:val="0"/>
          <w:numId w:val="1"/>
        </w:numPr>
      </w:pPr>
      <w:r>
        <w:t xml:space="preserve">Cliquer sur le bouton </w:t>
      </w:r>
      <w:r>
        <w:rPr>
          <w:b/>
        </w:rPr>
        <w:t xml:space="preserve">Afficher </w:t>
      </w:r>
      <w:r>
        <w:t xml:space="preserve"> et ensuite  sur </w:t>
      </w:r>
      <w:r>
        <w:rPr>
          <w:b/>
        </w:rPr>
        <w:t>Charger en ligne</w:t>
      </w:r>
    </w:p>
    <w:p>
      <w:pPr>
        <w:pStyle w:val="10"/>
        <w:ind w:firstLine="0"/>
        <w:rPr>
          <w:b/>
        </w:rPr>
      </w:pPr>
      <w:r>
        <w:rPr>
          <w:lang w:eastAsia="fr-F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193040</wp:posOffset>
            </wp:positionH>
            <wp:positionV relativeFrom="paragraph">
              <wp:posOffset>85090</wp:posOffset>
            </wp:positionV>
            <wp:extent cx="5972175" cy="2705100"/>
            <wp:effectExtent l="0" t="0" r="0" b="0"/>
            <wp:wrapTight wrapText="bothSides">
              <wp:wrapPolygon>
                <wp:start x="0" y="0"/>
                <wp:lineTo x="0" y="21448"/>
                <wp:lineTo x="21566" y="21448"/>
                <wp:lineTo x="21566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ind w:firstLine="0"/>
        <w:rPr>
          <w:b/>
        </w:rPr>
      </w:pPr>
    </w:p>
    <w:p>
      <w:pPr>
        <w:pStyle w:val="10"/>
        <w:numPr>
          <w:ilvl w:val="0"/>
          <w:numId w:val="3"/>
        </w:numPr>
        <w:rPr>
          <w:b/>
        </w:rPr>
      </w:pPr>
      <w:r>
        <w:rPr>
          <w:lang w:eastAsia="fr-FR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12065</wp:posOffset>
            </wp:positionH>
            <wp:positionV relativeFrom="paragraph">
              <wp:posOffset>359410</wp:posOffset>
            </wp:positionV>
            <wp:extent cx="6276975" cy="3533775"/>
            <wp:effectExtent l="0" t="0" r="0" b="0"/>
            <wp:wrapTight wrapText="bothSides">
              <wp:wrapPolygon>
                <wp:start x="0" y="0"/>
                <wp:lineTo x="0" y="21542"/>
                <wp:lineTo x="21567" y="21542"/>
                <wp:lineTo x="21567" y="0"/>
                <wp:lineTo x="0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6975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Echéancier élève</w:t>
      </w:r>
    </w:p>
    <w:p>
      <w:pPr>
        <w:pStyle w:val="10"/>
        <w:ind w:firstLine="0"/>
        <w:rPr>
          <w:b/>
        </w:rPr>
      </w:pPr>
    </w:p>
    <w:p>
      <w:pPr>
        <w:pStyle w:val="10"/>
        <w:ind w:firstLine="0"/>
      </w:pPr>
      <w:r>
        <w:t xml:space="preserve">Si l’effectif de l’établissement est élevé, on pourra afficher les données par Niveau </w:t>
      </w:r>
    </w:p>
    <w:p>
      <w:pPr>
        <w:pStyle w:val="10"/>
        <w:numPr>
          <w:ilvl w:val="0"/>
          <w:numId w:val="1"/>
        </w:numPr>
      </w:pPr>
      <w:r>
        <w:t>Saisir une plage de dates : Seuls Frais à payer des élèves inscrits entre ces deux dates s’afficheront.</w:t>
      </w:r>
    </w:p>
    <w:p>
      <w:pPr>
        <w:ind w:left="360" w:firstLine="0"/>
      </w:pPr>
    </w:p>
    <w:p>
      <w:pPr>
        <w:pStyle w:val="10"/>
        <w:numPr>
          <w:ilvl w:val="0"/>
          <w:numId w:val="3"/>
        </w:numPr>
      </w:pPr>
      <w:r>
        <w:rPr>
          <w:b/>
        </w:rPr>
        <w:t xml:space="preserve"> Règlements scolarité</w:t>
      </w:r>
    </w:p>
    <w:p>
      <w:pPr>
        <w:pStyle w:val="10"/>
        <w:ind w:firstLine="0"/>
      </w:pPr>
      <w:r>
        <w:t>La remontée des règlements  de scolarité est une opération quasi quotidienne.</w:t>
      </w:r>
    </w:p>
    <w:p>
      <w:pPr>
        <w:pStyle w:val="10"/>
        <w:numPr>
          <w:ilvl w:val="0"/>
          <w:numId w:val="1"/>
        </w:numPr>
      </w:pPr>
      <w:r>
        <w:t>Saisir une plage de dates </w:t>
      </w:r>
    </w:p>
    <w:p>
      <w:pPr>
        <w:pStyle w:val="10"/>
        <w:numPr>
          <w:ilvl w:val="0"/>
          <w:numId w:val="1"/>
        </w:numPr>
      </w:pPr>
      <w:r>
        <w:t xml:space="preserve">Cliquer sur le bouton </w:t>
      </w:r>
      <w:r>
        <w:rPr>
          <w:b/>
        </w:rPr>
        <w:t>Afficher</w:t>
      </w:r>
    </w:p>
    <w:p>
      <w:pPr>
        <w:ind w:left="360" w:firstLine="0"/>
      </w:pPr>
    </w:p>
    <w:p>
      <w:pPr>
        <w:ind w:left="360" w:firstLine="0"/>
      </w:pPr>
    </w:p>
    <w:p>
      <w:pPr>
        <w:ind w:left="360" w:firstLine="0"/>
      </w:pPr>
    </w:p>
    <w:p>
      <w:pPr>
        <w:ind w:left="360" w:firstLine="0"/>
      </w:pPr>
    </w:p>
    <w:p>
      <w:pPr>
        <w:ind w:left="360" w:firstLine="0"/>
        <w:rPr>
          <w:b/>
        </w:rPr>
      </w:pPr>
      <w:r>
        <w:rPr>
          <w:b/>
          <w:lang w:eastAsia="fr-F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-106680</wp:posOffset>
            </wp:positionV>
            <wp:extent cx="6286500" cy="3076575"/>
            <wp:effectExtent l="0" t="0" r="0" b="0"/>
            <wp:wrapTight wrapText="bothSides">
              <wp:wrapPolygon>
                <wp:start x="0" y="0"/>
                <wp:lineTo x="0" y="21533"/>
                <wp:lineTo x="21535" y="21533"/>
                <wp:lineTo x="21535" y="0"/>
                <wp:lineTo x="0" y="0"/>
              </wp:wrapPolygon>
            </wp:wrapTight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3076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B- Chargement des données relatives à la Pédagogie</w:t>
      </w:r>
    </w:p>
    <w:p>
      <w:pPr>
        <w:ind w:left="360" w:firstLine="0"/>
      </w:pPr>
    </w:p>
    <w:p>
      <w:pPr>
        <w:pStyle w:val="10"/>
        <w:numPr>
          <w:ilvl w:val="0"/>
          <w:numId w:val="4"/>
        </w:numPr>
        <w:rPr>
          <w:b/>
        </w:rPr>
      </w:pPr>
      <w:r>
        <w:rPr>
          <w:b/>
        </w:rPr>
        <w:t>Personnel</w:t>
      </w:r>
    </w:p>
    <w:p>
      <w:pPr>
        <w:pStyle w:val="10"/>
        <w:ind w:firstLine="0"/>
      </w:pPr>
      <w:r>
        <w:rPr>
          <w:lang w:eastAsia="fr-FR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345440</wp:posOffset>
            </wp:positionH>
            <wp:positionV relativeFrom="paragraph">
              <wp:posOffset>129540</wp:posOffset>
            </wp:positionV>
            <wp:extent cx="5972810" cy="3359785"/>
            <wp:effectExtent l="0" t="0" r="0" b="0"/>
            <wp:wrapTight wrapText="bothSides">
              <wp:wrapPolygon>
                <wp:start x="0" y="0"/>
                <wp:lineTo x="0" y="21433"/>
                <wp:lineTo x="21563" y="21433"/>
                <wp:lineTo x="21563" y="0"/>
                <wp:lineTo x="0" y="0"/>
              </wp:wrapPolygon>
            </wp:wrapTight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>
      <w:bookmarkStart w:id="0" w:name="_GoBack"/>
      <w:bookmarkEnd w:id="0"/>
    </w:p>
    <w:p/>
    <w:p/>
    <w:p/>
    <w:p>
      <w:pPr>
        <w:ind w:left="0" w:firstLine="0"/>
      </w:pPr>
      <w:r>
        <w:t xml:space="preserve">       Les Personnels qui s’affichent sont ceux dont la reprise de service a été effectuée dans </w:t>
      </w:r>
    </w:p>
    <w:p>
      <w:pPr>
        <w:ind w:left="0" w:firstLine="0"/>
        <w:rPr>
          <w:b/>
        </w:rPr>
      </w:pPr>
      <w:r>
        <w:t xml:space="preserve">       </w:t>
      </w:r>
      <w:r>
        <w:rPr>
          <w:b/>
        </w:rPr>
        <w:t xml:space="preserve">Traitement  </w:t>
      </w:r>
      <w:r>
        <w:t>-&gt;</w:t>
      </w:r>
      <w:r>
        <w:rPr>
          <w:b/>
        </w:rPr>
        <w:t xml:space="preserve"> Personnel </w:t>
      </w:r>
      <w:r>
        <w:t>-&gt;</w:t>
      </w:r>
      <w:r>
        <w:rPr>
          <w:b/>
        </w:rPr>
        <w:t xml:space="preserve"> Reprise Service</w:t>
      </w:r>
    </w:p>
    <w:p>
      <w:pPr>
        <w:ind w:left="0" w:firstLine="0"/>
        <w:rPr>
          <w:b/>
        </w:rPr>
      </w:pPr>
    </w:p>
    <w:p>
      <w:pPr>
        <w:pStyle w:val="10"/>
        <w:numPr>
          <w:ilvl w:val="0"/>
          <w:numId w:val="4"/>
        </w:numPr>
        <w:rPr>
          <w:b/>
        </w:rPr>
      </w:pPr>
      <w:r>
        <w:rPr>
          <w:b/>
        </w:rPr>
        <w:t>Professeurs par Classe</w:t>
      </w:r>
    </w:p>
    <w:p>
      <w:pPr>
        <w:ind w:left="0" w:firstLine="0"/>
        <w:rPr>
          <w:b/>
        </w:rPr>
      </w:pPr>
      <w:r>
        <w:rPr>
          <w:lang w:eastAsia="fr-F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69215</wp:posOffset>
            </wp:positionH>
            <wp:positionV relativeFrom="paragraph">
              <wp:posOffset>142875</wp:posOffset>
            </wp:positionV>
            <wp:extent cx="6315075" cy="3486150"/>
            <wp:effectExtent l="0" t="0" r="0" b="0"/>
            <wp:wrapTight wrapText="bothSides">
              <wp:wrapPolygon>
                <wp:start x="0" y="0"/>
                <wp:lineTo x="0" y="21482"/>
                <wp:lineTo x="21567" y="21482"/>
                <wp:lineTo x="21567" y="0"/>
                <wp:lineTo x="0" y="0"/>
              </wp:wrapPolygon>
            </wp:wrapTight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5075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left="0" w:firstLine="0"/>
        <w:rPr>
          <w:b/>
        </w:rPr>
      </w:pPr>
    </w:p>
    <w:p>
      <w:pPr>
        <w:ind w:left="0" w:firstLine="0"/>
        <w:rPr>
          <w:b/>
        </w:rPr>
      </w:pPr>
    </w:p>
    <w:p>
      <w:pPr>
        <w:ind w:left="0" w:firstLine="0"/>
        <w:rPr>
          <w:b/>
        </w:rPr>
      </w:pPr>
    </w:p>
    <w:p>
      <w:pPr>
        <w:pStyle w:val="10"/>
        <w:numPr>
          <w:ilvl w:val="0"/>
          <w:numId w:val="4"/>
        </w:numPr>
        <w:rPr>
          <w:b/>
        </w:rPr>
      </w:pPr>
      <w:r>
        <w:rPr>
          <w:b/>
        </w:rPr>
        <w:t>Coefficient Matière</w:t>
      </w:r>
    </w:p>
    <w:p>
      <w:pPr>
        <w:pStyle w:val="10"/>
        <w:ind w:firstLine="0"/>
        <w:rPr>
          <w:b/>
        </w:rPr>
      </w:pPr>
      <w:r>
        <w:rPr>
          <w:lang w:eastAsia="fr-FR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202565</wp:posOffset>
            </wp:positionH>
            <wp:positionV relativeFrom="paragraph">
              <wp:posOffset>136525</wp:posOffset>
            </wp:positionV>
            <wp:extent cx="5972175" cy="3511550"/>
            <wp:effectExtent l="0" t="0" r="0" b="0"/>
            <wp:wrapTight wrapText="bothSides">
              <wp:wrapPolygon>
                <wp:start x="0" y="0"/>
                <wp:lineTo x="0" y="21444"/>
                <wp:lineTo x="21566" y="21444"/>
                <wp:lineTo x="21566" y="0"/>
                <wp:lineTo x="0" y="0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>
      <w:pPr>
        <w:pStyle w:val="10"/>
        <w:numPr>
          <w:ilvl w:val="0"/>
          <w:numId w:val="1"/>
        </w:numPr>
      </w:pPr>
      <w:r>
        <w:t xml:space="preserve">Cliquer sur le bouton </w:t>
      </w:r>
      <w:r>
        <w:rPr>
          <w:b/>
        </w:rPr>
        <w:t>Afficher</w:t>
      </w:r>
    </w:p>
    <w:p>
      <w:pPr>
        <w:pStyle w:val="10"/>
        <w:ind w:firstLine="0"/>
        <w:rPr>
          <w:b/>
        </w:rPr>
      </w:pPr>
      <w:r>
        <w:t xml:space="preserve">Si tous les coefficients ne s’affichent pas, faire la mise à jour de l’Etablissement dans le fichier des coefficients. Voir : </w:t>
      </w:r>
      <w:r>
        <w:rPr>
          <w:b/>
        </w:rPr>
        <w:t xml:space="preserve">Paramètres  </w:t>
      </w:r>
      <w:r>
        <w:t>-&gt;</w:t>
      </w:r>
      <w:r>
        <w:rPr>
          <w:b/>
        </w:rPr>
        <w:t xml:space="preserve"> Fichiers de base </w:t>
      </w:r>
      <w:r>
        <w:t>-&gt;</w:t>
      </w:r>
      <w:r>
        <w:rPr>
          <w:b/>
        </w:rPr>
        <w:t xml:space="preserve"> Ens. Général | Technique | Professionnel | Supérieur   </w:t>
      </w:r>
      <w:r>
        <w:t xml:space="preserve">et cliquer sur le bouton </w:t>
      </w:r>
      <w:r>
        <w:rPr>
          <w:b/>
        </w:rPr>
        <w:t>MAJ ET_ID ds  CoefMat</w:t>
      </w:r>
    </w:p>
    <w:p>
      <w:pPr>
        <w:pStyle w:val="10"/>
        <w:ind w:firstLine="0"/>
        <w:rPr>
          <w:b/>
        </w:rPr>
      </w:pPr>
    </w:p>
    <w:p>
      <w:pPr>
        <w:pStyle w:val="10"/>
        <w:numPr>
          <w:ilvl w:val="0"/>
          <w:numId w:val="1"/>
        </w:numPr>
      </w:pPr>
      <w:r>
        <w:t>Cliquer sur le bouton</w:t>
      </w:r>
      <w:r>
        <w:rPr>
          <w:b/>
        </w:rPr>
        <w:t xml:space="preserve"> Charger en ligne</w:t>
      </w:r>
    </w:p>
    <w:p>
      <w:pPr>
        <w:ind w:left="360" w:firstLine="0"/>
      </w:pPr>
    </w:p>
    <w:p>
      <w:pPr>
        <w:pStyle w:val="10"/>
        <w:numPr>
          <w:ilvl w:val="0"/>
          <w:numId w:val="4"/>
        </w:numPr>
        <w:rPr>
          <w:b/>
        </w:rPr>
      </w:pPr>
      <w:r>
        <w:rPr>
          <w:b/>
        </w:rPr>
        <w:t>Moyennes  par Matière</w:t>
      </w:r>
    </w:p>
    <w:p>
      <w:r>
        <w:rPr>
          <w:lang w:eastAsia="fr-FR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183515</wp:posOffset>
            </wp:positionH>
            <wp:positionV relativeFrom="paragraph">
              <wp:posOffset>127000</wp:posOffset>
            </wp:positionV>
            <wp:extent cx="6257925" cy="2743200"/>
            <wp:effectExtent l="0" t="0" r="0" b="0"/>
            <wp:wrapTight wrapText="bothSides">
              <wp:wrapPolygon>
                <wp:start x="0" y="0"/>
                <wp:lineTo x="0" y="21450"/>
                <wp:lineTo x="21567" y="21450"/>
                <wp:lineTo x="21567" y="0"/>
                <wp:lineTo x="0" y="0"/>
              </wp:wrapPolygon>
            </wp:wrapTight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7925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left="709"/>
      </w:pPr>
      <w:r>
        <w:t xml:space="preserve">Par soucis de rapidité, on peut afficher les moyennes par niveau et les charger en ligne </w:t>
      </w:r>
    </w:p>
    <w:sectPr>
      <w:footerReference r:id="rId3" w:type="default"/>
      <w:pgSz w:w="11906" w:h="16838"/>
      <w:pgMar w:top="993" w:right="851" w:bottom="993" w:left="851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05447363"/>
      <w:docPartObj>
        <w:docPartGallery w:val="AutoText"/>
      </w:docPartObj>
    </w:sdtPr>
    <w:sdtContent>
      <w:p>
        <w:pPr>
          <w:pStyle w:val="5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>6</w:t>
        </w:r>
        <w:r>
          <w:fldChar w:fldCharType="end"/>
        </w:r>
      </w:p>
    </w:sdtContent>
  </w:sdt>
  <w:p>
    <w:pPr>
      <w:pStyle w:val="5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A383117"/>
    <w:multiLevelType w:val="multilevel"/>
    <w:tmpl w:val="0A383117"/>
    <w:lvl w:ilvl="0" w:tentative="0">
      <w:start w:val="0"/>
      <w:numFmt w:val="bullet"/>
      <w:lvlText w:val="-"/>
      <w:lvlJc w:val="left"/>
      <w:pPr>
        <w:ind w:left="720" w:hanging="360"/>
      </w:pPr>
      <w:rPr>
        <w:rFonts w:hint="default" w:ascii="Times New Roman" w:hAnsi="Times New Roman" w:cs="Times New Roman" w:eastAsiaTheme="minorHAnsi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>
    <w:nsid w:val="0B4D3840"/>
    <w:multiLevelType w:val="multilevel"/>
    <w:tmpl w:val="0B4D3840"/>
    <w:lvl w:ilvl="0" w:tentative="0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3A0BF6"/>
    <w:multiLevelType w:val="multilevel"/>
    <w:tmpl w:val="203A0BF6"/>
    <w:lvl w:ilvl="0" w:tentative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D31483A"/>
    <w:multiLevelType w:val="multilevel"/>
    <w:tmpl w:val="6D31483A"/>
    <w:lvl w:ilvl="0" w:tentative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DB2E9E"/>
    <w:rsid w:val="00006491"/>
    <w:rsid w:val="000118B9"/>
    <w:rsid w:val="00042599"/>
    <w:rsid w:val="00071F45"/>
    <w:rsid w:val="00077E40"/>
    <w:rsid w:val="00084310"/>
    <w:rsid w:val="000A21F9"/>
    <w:rsid w:val="000C1FD0"/>
    <w:rsid w:val="000C25B7"/>
    <w:rsid w:val="000D2398"/>
    <w:rsid w:val="000D5145"/>
    <w:rsid w:val="000D6A55"/>
    <w:rsid w:val="000F6166"/>
    <w:rsid w:val="001018BB"/>
    <w:rsid w:val="0012099E"/>
    <w:rsid w:val="00121EDC"/>
    <w:rsid w:val="0013133A"/>
    <w:rsid w:val="00135B2D"/>
    <w:rsid w:val="00141650"/>
    <w:rsid w:val="00163C15"/>
    <w:rsid w:val="0016506B"/>
    <w:rsid w:val="001730A9"/>
    <w:rsid w:val="00186A43"/>
    <w:rsid w:val="001F426C"/>
    <w:rsid w:val="001F4673"/>
    <w:rsid w:val="00211A8F"/>
    <w:rsid w:val="00213E80"/>
    <w:rsid w:val="00215500"/>
    <w:rsid w:val="002371D7"/>
    <w:rsid w:val="002540BB"/>
    <w:rsid w:val="002B3EBD"/>
    <w:rsid w:val="002C6BA0"/>
    <w:rsid w:val="002D6E62"/>
    <w:rsid w:val="002E2305"/>
    <w:rsid w:val="002F07EE"/>
    <w:rsid w:val="002F36F4"/>
    <w:rsid w:val="0030252F"/>
    <w:rsid w:val="0030386D"/>
    <w:rsid w:val="00306888"/>
    <w:rsid w:val="00312B6E"/>
    <w:rsid w:val="00343251"/>
    <w:rsid w:val="00356319"/>
    <w:rsid w:val="003572A2"/>
    <w:rsid w:val="00364637"/>
    <w:rsid w:val="003749DA"/>
    <w:rsid w:val="00391591"/>
    <w:rsid w:val="00394860"/>
    <w:rsid w:val="003C01A5"/>
    <w:rsid w:val="003C5EA5"/>
    <w:rsid w:val="003C7B21"/>
    <w:rsid w:val="003F6309"/>
    <w:rsid w:val="00405723"/>
    <w:rsid w:val="00415432"/>
    <w:rsid w:val="00421523"/>
    <w:rsid w:val="004316FA"/>
    <w:rsid w:val="00434CDA"/>
    <w:rsid w:val="00444235"/>
    <w:rsid w:val="004557CA"/>
    <w:rsid w:val="00457BBD"/>
    <w:rsid w:val="0048420C"/>
    <w:rsid w:val="004A0100"/>
    <w:rsid w:val="004A03E3"/>
    <w:rsid w:val="004C0269"/>
    <w:rsid w:val="00517641"/>
    <w:rsid w:val="005210A9"/>
    <w:rsid w:val="00527CB1"/>
    <w:rsid w:val="005310F6"/>
    <w:rsid w:val="0053505B"/>
    <w:rsid w:val="005806CA"/>
    <w:rsid w:val="005B02C6"/>
    <w:rsid w:val="005B4319"/>
    <w:rsid w:val="005D1727"/>
    <w:rsid w:val="005E5D02"/>
    <w:rsid w:val="005F4F86"/>
    <w:rsid w:val="00633DDE"/>
    <w:rsid w:val="00634AEB"/>
    <w:rsid w:val="00634C04"/>
    <w:rsid w:val="006477BE"/>
    <w:rsid w:val="00655AB7"/>
    <w:rsid w:val="00680117"/>
    <w:rsid w:val="006A7969"/>
    <w:rsid w:val="006B25FE"/>
    <w:rsid w:val="006C54A5"/>
    <w:rsid w:val="006D7278"/>
    <w:rsid w:val="006E2FE8"/>
    <w:rsid w:val="006E3CCF"/>
    <w:rsid w:val="0072372D"/>
    <w:rsid w:val="00737438"/>
    <w:rsid w:val="0075091D"/>
    <w:rsid w:val="0075177D"/>
    <w:rsid w:val="00754697"/>
    <w:rsid w:val="00764DE1"/>
    <w:rsid w:val="00772E1C"/>
    <w:rsid w:val="00794B3D"/>
    <w:rsid w:val="00796333"/>
    <w:rsid w:val="007A1BEC"/>
    <w:rsid w:val="007A6D2F"/>
    <w:rsid w:val="007D7ED9"/>
    <w:rsid w:val="0080621E"/>
    <w:rsid w:val="008226A4"/>
    <w:rsid w:val="00824A01"/>
    <w:rsid w:val="00841AFA"/>
    <w:rsid w:val="00844308"/>
    <w:rsid w:val="00855E35"/>
    <w:rsid w:val="00882D29"/>
    <w:rsid w:val="00897F22"/>
    <w:rsid w:val="008B3B64"/>
    <w:rsid w:val="008D15E7"/>
    <w:rsid w:val="008D4EEB"/>
    <w:rsid w:val="00924563"/>
    <w:rsid w:val="00930A1A"/>
    <w:rsid w:val="009609D6"/>
    <w:rsid w:val="00987C36"/>
    <w:rsid w:val="009B6FBA"/>
    <w:rsid w:val="009E02C0"/>
    <w:rsid w:val="00A85280"/>
    <w:rsid w:val="00AB100A"/>
    <w:rsid w:val="00AB6F59"/>
    <w:rsid w:val="00AB787E"/>
    <w:rsid w:val="00AD06A4"/>
    <w:rsid w:val="00AE741D"/>
    <w:rsid w:val="00AF1453"/>
    <w:rsid w:val="00AF4F1D"/>
    <w:rsid w:val="00B10DD2"/>
    <w:rsid w:val="00B2247B"/>
    <w:rsid w:val="00B31BB6"/>
    <w:rsid w:val="00B46F39"/>
    <w:rsid w:val="00B645E4"/>
    <w:rsid w:val="00B87825"/>
    <w:rsid w:val="00BA0184"/>
    <w:rsid w:val="00BA6BAD"/>
    <w:rsid w:val="00BE2451"/>
    <w:rsid w:val="00C30F20"/>
    <w:rsid w:val="00C32E1D"/>
    <w:rsid w:val="00C33EC7"/>
    <w:rsid w:val="00C33F9F"/>
    <w:rsid w:val="00C37D46"/>
    <w:rsid w:val="00C46D61"/>
    <w:rsid w:val="00C50633"/>
    <w:rsid w:val="00C97A68"/>
    <w:rsid w:val="00CB77D2"/>
    <w:rsid w:val="00CC3148"/>
    <w:rsid w:val="00CE7011"/>
    <w:rsid w:val="00D0053F"/>
    <w:rsid w:val="00D14D1B"/>
    <w:rsid w:val="00D25FDF"/>
    <w:rsid w:val="00D31FB3"/>
    <w:rsid w:val="00D427E4"/>
    <w:rsid w:val="00D65FC8"/>
    <w:rsid w:val="00D7787C"/>
    <w:rsid w:val="00D9729B"/>
    <w:rsid w:val="00DA514B"/>
    <w:rsid w:val="00DB2E9E"/>
    <w:rsid w:val="00DD0A1C"/>
    <w:rsid w:val="00E02F84"/>
    <w:rsid w:val="00E05442"/>
    <w:rsid w:val="00E13A65"/>
    <w:rsid w:val="00E206AD"/>
    <w:rsid w:val="00E20845"/>
    <w:rsid w:val="00E35280"/>
    <w:rsid w:val="00E435D8"/>
    <w:rsid w:val="00E525FB"/>
    <w:rsid w:val="00E76F6F"/>
    <w:rsid w:val="00E957F9"/>
    <w:rsid w:val="00EB707A"/>
    <w:rsid w:val="00EC11AA"/>
    <w:rsid w:val="00EC57D8"/>
    <w:rsid w:val="00ED67E8"/>
    <w:rsid w:val="00ED72EA"/>
    <w:rsid w:val="00EE05B9"/>
    <w:rsid w:val="00EE4D6C"/>
    <w:rsid w:val="00F239BC"/>
    <w:rsid w:val="00F3455B"/>
    <w:rsid w:val="00F62017"/>
    <w:rsid w:val="00F62A87"/>
    <w:rsid w:val="00F634BD"/>
    <w:rsid w:val="00F73A5D"/>
    <w:rsid w:val="00F83BB4"/>
    <w:rsid w:val="00F96A31"/>
    <w:rsid w:val="00FD4708"/>
    <w:rsid w:val="00FF1579"/>
    <w:rsid w:val="60A911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Balloon Text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ind w:left="1434" w:hanging="357"/>
    </w:pPr>
    <w:rPr>
      <w:rFonts w:ascii="Times New Roman" w:hAnsi="Times New Roman" w:eastAsiaTheme="minorHAnsi" w:cstheme="minorBidi"/>
      <w:sz w:val="28"/>
      <w:szCs w:val="28"/>
      <w:lang w:val="fr-FR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basedOn w:val="2"/>
    <w:unhideWhenUsed/>
    <w:uiPriority w:val="99"/>
    <w:rPr>
      <w:color w:val="0000FF" w:themeColor="hyperlink"/>
      <w:u w:val="single"/>
    </w:rPr>
  </w:style>
  <w:style w:type="paragraph" w:styleId="4">
    <w:name w:val="Balloon Text"/>
    <w:basedOn w:val="1"/>
    <w:link w:val="11"/>
    <w:semiHidden/>
    <w:unhideWhenUsed/>
    <w:uiPriority w:val="99"/>
    <w:rPr>
      <w:rFonts w:ascii="Tahoma" w:hAnsi="Tahoma" w:cs="Tahoma"/>
      <w:sz w:val="16"/>
      <w:szCs w:val="16"/>
    </w:rPr>
  </w:style>
  <w:style w:type="paragraph" w:styleId="5">
    <w:name w:val="footer"/>
    <w:basedOn w:val="1"/>
    <w:link w:val="9"/>
    <w:unhideWhenUsed/>
    <w:uiPriority w:val="99"/>
    <w:pPr>
      <w:tabs>
        <w:tab w:val="center" w:pos="4536"/>
        <w:tab w:val="right" w:pos="9072"/>
      </w:tabs>
    </w:pPr>
  </w:style>
  <w:style w:type="paragraph" w:styleId="6">
    <w:name w:val="header"/>
    <w:basedOn w:val="1"/>
    <w:link w:val="8"/>
    <w:unhideWhenUsed/>
    <w:uiPriority w:val="99"/>
    <w:pPr>
      <w:tabs>
        <w:tab w:val="center" w:pos="4536"/>
        <w:tab w:val="right" w:pos="9072"/>
      </w:tabs>
    </w:pPr>
  </w:style>
  <w:style w:type="character" w:customStyle="1" w:styleId="8">
    <w:name w:val="En-tête Car"/>
    <w:basedOn w:val="2"/>
    <w:link w:val="6"/>
    <w:uiPriority w:val="99"/>
  </w:style>
  <w:style w:type="character" w:customStyle="1" w:styleId="9">
    <w:name w:val="Pied de page Car"/>
    <w:basedOn w:val="2"/>
    <w:link w:val="5"/>
    <w:uiPriority w:val="99"/>
  </w:style>
  <w:style w:type="paragraph" w:styleId="10">
    <w:name w:val="List Paragraph"/>
    <w:basedOn w:val="1"/>
    <w:qFormat/>
    <w:uiPriority w:val="34"/>
    <w:pPr>
      <w:ind w:left="720"/>
      <w:contextualSpacing/>
    </w:pPr>
  </w:style>
  <w:style w:type="character" w:customStyle="1" w:styleId="11">
    <w:name w:val="Texte de bulles Car"/>
    <w:basedOn w:val="2"/>
    <w:link w:val="4"/>
    <w:semiHidden/>
    <w:qFormat/>
    <w:uiPriority w:val="99"/>
    <w:rPr>
      <w:rFonts w:ascii="Tahoma" w:hAnsi="Tahoma" w:cs="Tahoma"/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numbering" Target="numbering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 Classique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485E7B6-D22B-4715-A7D8-F098F3D538A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517</Words>
  <Characters>2849</Characters>
  <Lines>23</Lines>
  <Paragraphs>6</Paragraphs>
  <TotalTime>4671</TotalTime>
  <ScaleCrop>false</ScaleCrop>
  <LinksUpToDate>false</LinksUpToDate>
  <CharactersWithSpaces>3360</CharactersWithSpaces>
  <Application>WPS Office_12.2.0.13215_F1E327BC-269C-435d-A152-05C5408002CA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2017-10-02T12:03:00Z</dcterms:created>
  <dc:creator>DJESS</dc:creator>
  <cp:lastModifiedBy>DJESS</cp:lastModifiedBy>
  <dcterms:modified xsi:type="dcterms:W3CDTF">2023-09-28T11:07:32Z</dcterms:modified>
  <cp:revision>46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1036-12.2.0.13215</vt:lpwstr>
  </property>
  <property fmtid="{D5CDD505-2E9C-101B-9397-08002B2CF9AE}" pid="3" name="ICV">
    <vt:lpwstr>78167C2AA1FF4FCF8965B1544FB4857F_12</vt:lpwstr>
  </property>
</Properties>
</file>